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8"/>
        <w:ind w:left="6392" w:right="0" w:firstLine="0"/>
        <w:jc w:val="left"/>
        <w:rPr>
          <w:sz w:val="16"/>
        </w:rPr>
      </w:pPr>
      <w:r>
        <w:rPr>
          <w:sz w:val="16"/>
        </w:rPr>
        <w:t>“2008</w:t>
      </w:r>
      <w:r>
        <w:rPr>
          <w:spacing w:val="-5"/>
          <w:sz w:val="16"/>
        </w:rPr>
        <w:t> </w:t>
      </w:r>
      <w:r>
        <w:rPr>
          <w:sz w:val="16"/>
        </w:rPr>
        <w:t>–</w:t>
      </w:r>
      <w:r>
        <w:rPr>
          <w:spacing w:val="-4"/>
          <w:sz w:val="16"/>
        </w:rPr>
        <w:t> </w:t>
      </w:r>
      <w:r>
        <w:rPr>
          <w:sz w:val="16"/>
        </w:rPr>
        <w:t>Año</w:t>
      </w:r>
      <w:r>
        <w:rPr>
          <w:spacing w:val="-5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Prevención</w:t>
      </w:r>
      <w:r>
        <w:rPr>
          <w:spacing w:val="-4"/>
          <w:sz w:val="16"/>
        </w:rPr>
        <w:t> </w:t>
      </w:r>
      <w:r>
        <w:rPr>
          <w:sz w:val="16"/>
        </w:rPr>
        <w:t>de</w:t>
      </w:r>
      <w:r>
        <w:rPr>
          <w:spacing w:val="-5"/>
          <w:sz w:val="16"/>
        </w:rPr>
        <w:t> </w:t>
      </w:r>
      <w:r>
        <w:rPr>
          <w:sz w:val="16"/>
        </w:rPr>
        <w:t>la</w:t>
      </w:r>
      <w:r>
        <w:rPr>
          <w:spacing w:val="-4"/>
          <w:sz w:val="16"/>
        </w:rPr>
        <w:t> </w:t>
      </w:r>
      <w:r>
        <w:rPr>
          <w:sz w:val="16"/>
        </w:rPr>
        <w:t>Violencia</w:t>
      </w:r>
      <w:r>
        <w:rPr>
          <w:spacing w:val="-5"/>
          <w:sz w:val="16"/>
        </w:rPr>
        <w:t> </w:t>
      </w:r>
      <w:r>
        <w:rPr>
          <w:spacing w:val="-2"/>
          <w:sz w:val="16"/>
        </w:rPr>
        <w:t>Juvenil”</w:t>
      </w:r>
    </w:p>
    <w:p>
      <w:pPr>
        <w:pStyle w:val="BodyText"/>
        <w:spacing w:before="3"/>
        <w:ind w:left="0"/>
        <w:rPr>
          <w:sz w:val="40"/>
        </w:rPr>
      </w:pPr>
    </w:p>
    <w:p>
      <w:pPr>
        <w:pStyle w:val="Title"/>
      </w:pPr>
      <w:r>
        <w:rPr/>
        <w:t>La</w:t>
      </w:r>
      <w:r>
        <w:rPr>
          <w:spacing w:val="-5"/>
        </w:rPr>
        <w:t> </w:t>
      </w:r>
      <w:r>
        <w:rPr/>
        <w:t>Cámara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Diputados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la</w:t>
      </w:r>
      <w:r>
        <w:rPr>
          <w:spacing w:val="-5"/>
        </w:rPr>
        <w:t> </w:t>
      </w:r>
      <w:r>
        <w:rPr/>
        <w:t>Provincia</w:t>
      </w:r>
      <w:r>
        <w:rPr>
          <w:spacing w:val="-5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6.198</w:t>
      </w:r>
    </w:p>
    <w:p>
      <w:pPr>
        <w:pStyle w:val="BodyText"/>
        <w:spacing w:before="297"/>
        <w:ind w:left="113" w:right="109"/>
        <w:jc w:val="both"/>
      </w:pPr>
      <w:r>
        <w:rPr/>
        <w:t>ARTÍCULO 1º: Decláranse</w:t>
      </w:r>
      <w:r>
        <w:rPr>
          <w:spacing w:val="40"/>
        </w:rPr>
        <w:t> </w:t>
      </w:r>
      <w:r>
        <w:rPr/>
        <w:t>de utilidad pública e interés social y sujetos a expropiación, los inmuebles ubicados en la Ciudad de Resistencia,</w:t>
      </w:r>
      <w:r>
        <w:rPr>
          <w:spacing w:val="40"/>
        </w:rPr>
        <w:t> </w:t>
      </w:r>
      <w:r>
        <w:rPr/>
        <w:t>que a continuación se detallan:</w:t>
      </w:r>
    </w:p>
    <w:p>
      <w:pPr>
        <w:pStyle w:val="ListParagraph"/>
        <w:numPr>
          <w:ilvl w:val="0"/>
          <w:numId w:val="1"/>
        </w:numPr>
        <w:tabs>
          <w:tab w:pos="2274" w:val="left" w:leader="none"/>
        </w:tabs>
        <w:spacing w:line="240" w:lineRule="auto" w:before="298" w:after="0"/>
        <w:ind w:left="1913" w:right="109" w:firstLine="0"/>
        <w:jc w:val="both"/>
        <w:rPr>
          <w:sz w:val="26"/>
        </w:rPr>
      </w:pPr>
      <w:r>
        <w:rPr>
          <w:sz w:val="26"/>
        </w:rPr>
        <w:t>NOMENCLATURA CATASTRAL: Circunscripción II, Sección B, Chacra 112, Fracción VI.</w:t>
      </w:r>
    </w:p>
    <w:p>
      <w:pPr>
        <w:pStyle w:val="BodyText"/>
        <w:spacing w:before="1"/>
        <w:ind w:left="1978"/>
      </w:pPr>
      <w:r>
        <w:rPr/>
        <w:t>INSCRIPCIÓN</w:t>
      </w:r>
      <w:r>
        <w:rPr>
          <w:spacing w:val="19"/>
        </w:rPr>
        <w:t> </w:t>
      </w:r>
      <w:r>
        <w:rPr/>
        <w:t>EN</w:t>
      </w:r>
      <w:r>
        <w:rPr>
          <w:spacing w:val="20"/>
        </w:rPr>
        <w:t> </w:t>
      </w:r>
      <w:r>
        <w:rPr/>
        <w:t>EL</w:t>
      </w:r>
      <w:r>
        <w:rPr>
          <w:spacing w:val="20"/>
        </w:rPr>
        <w:t> </w:t>
      </w:r>
      <w:r>
        <w:rPr/>
        <w:t>REGISTRO</w:t>
      </w:r>
      <w:r>
        <w:rPr>
          <w:spacing w:val="21"/>
        </w:rPr>
        <w:t> </w:t>
      </w:r>
      <w:r>
        <w:rPr/>
        <w:t>DE</w:t>
      </w:r>
      <w:r>
        <w:rPr>
          <w:spacing w:val="22"/>
        </w:rPr>
        <w:t> </w:t>
      </w:r>
      <w:r>
        <w:rPr/>
        <w:t>LA</w:t>
      </w:r>
      <w:r>
        <w:rPr>
          <w:spacing w:val="21"/>
        </w:rPr>
        <w:t> </w:t>
      </w:r>
      <w:r>
        <w:rPr/>
        <w:t>PROPIEDAD</w:t>
      </w:r>
      <w:r>
        <w:rPr>
          <w:spacing w:val="22"/>
        </w:rPr>
        <w:t> </w:t>
      </w:r>
      <w:r>
        <w:rPr>
          <w:spacing w:val="-2"/>
        </w:rPr>
        <w:t>INMUEBLE:</w:t>
      </w:r>
    </w:p>
    <w:p>
      <w:pPr>
        <w:pStyle w:val="BodyText"/>
      </w:pPr>
      <w:r>
        <w:rPr/>
        <w:t>Folio</w:t>
      </w:r>
      <w:r>
        <w:rPr>
          <w:spacing w:val="-9"/>
        </w:rPr>
        <w:t> </w:t>
      </w:r>
      <w:r>
        <w:rPr/>
        <w:t>Real</w:t>
      </w:r>
      <w:r>
        <w:rPr>
          <w:spacing w:val="-6"/>
        </w:rPr>
        <w:t> </w:t>
      </w:r>
      <w:r>
        <w:rPr/>
        <w:t>Matrícula</w:t>
      </w:r>
      <w:r>
        <w:rPr>
          <w:spacing w:val="-6"/>
        </w:rPr>
        <w:t> </w:t>
      </w:r>
      <w:r>
        <w:rPr/>
        <w:t>Nº</w:t>
      </w:r>
      <w:r>
        <w:rPr>
          <w:spacing w:val="-6"/>
        </w:rPr>
        <w:t> </w:t>
      </w:r>
      <w:r>
        <w:rPr/>
        <w:t>15.917,</w:t>
      </w:r>
      <w:r>
        <w:rPr>
          <w:spacing w:val="-5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San</w:t>
      </w:r>
      <w:r>
        <w:rPr>
          <w:spacing w:val="-6"/>
        </w:rPr>
        <w:t> </w:t>
      </w:r>
      <w:r>
        <w:rPr>
          <w:spacing w:val="-2"/>
        </w:rPr>
        <w:t>Fernando.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274" w:val="left" w:leader="none"/>
        </w:tabs>
        <w:spacing w:line="240" w:lineRule="auto" w:before="0" w:after="0"/>
        <w:ind w:left="1913" w:right="109" w:firstLine="0"/>
        <w:jc w:val="both"/>
        <w:rPr>
          <w:sz w:val="26"/>
        </w:rPr>
      </w:pPr>
      <w:r>
        <w:rPr>
          <w:sz w:val="26"/>
        </w:rPr>
        <w:t>NOMENCLATURA CATASTRAL: Circunscripción II, Sección B, Chacra 112, Fracción IV.</w:t>
      </w:r>
    </w:p>
    <w:p>
      <w:pPr>
        <w:pStyle w:val="BodyText"/>
        <w:spacing w:line="299" w:lineRule="exact"/>
      </w:pPr>
      <w:r>
        <w:rPr/>
        <w:t>INSCRIPCIÓN</w:t>
      </w:r>
      <w:r>
        <w:rPr>
          <w:spacing w:val="28"/>
        </w:rPr>
        <w:t> </w:t>
      </w:r>
      <w:r>
        <w:rPr/>
        <w:t>EN</w:t>
      </w:r>
      <w:r>
        <w:rPr>
          <w:spacing w:val="31"/>
        </w:rPr>
        <w:t> </w:t>
      </w:r>
      <w:r>
        <w:rPr/>
        <w:t>EL</w:t>
      </w:r>
      <w:r>
        <w:rPr>
          <w:spacing w:val="31"/>
        </w:rPr>
        <w:t> </w:t>
      </w:r>
      <w:r>
        <w:rPr/>
        <w:t>REGISTRO</w:t>
      </w:r>
      <w:r>
        <w:rPr>
          <w:spacing w:val="30"/>
        </w:rPr>
        <w:t> </w:t>
      </w:r>
      <w:r>
        <w:rPr/>
        <w:t>DE</w:t>
      </w:r>
      <w:r>
        <w:rPr>
          <w:spacing w:val="31"/>
        </w:rPr>
        <w:t> </w:t>
      </w:r>
      <w:r>
        <w:rPr/>
        <w:t>LA</w:t>
      </w:r>
      <w:r>
        <w:rPr>
          <w:spacing w:val="31"/>
        </w:rPr>
        <w:t> </w:t>
      </w:r>
      <w:r>
        <w:rPr/>
        <w:t>PROPIEDAD</w:t>
      </w:r>
      <w:r>
        <w:rPr>
          <w:spacing w:val="31"/>
        </w:rPr>
        <w:t> </w:t>
      </w:r>
      <w:r>
        <w:rPr>
          <w:spacing w:val="-2"/>
        </w:rPr>
        <w:t>INMUEBLE:</w:t>
      </w:r>
    </w:p>
    <w:p>
      <w:pPr>
        <w:pStyle w:val="BodyText"/>
        <w:spacing w:before="1"/>
      </w:pPr>
      <w:r>
        <w:rPr/>
        <w:t>Folio</w:t>
      </w:r>
      <w:r>
        <w:rPr>
          <w:spacing w:val="-6"/>
        </w:rPr>
        <w:t> </w:t>
      </w:r>
      <w:r>
        <w:rPr/>
        <w:t>Real</w:t>
      </w:r>
      <w:r>
        <w:rPr>
          <w:spacing w:val="-5"/>
        </w:rPr>
        <w:t> </w:t>
      </w:r>
      <w:r>
        <w:rPr/>
        <w:t>Matrícula</w:t>
      </w:r>
      <w:r>
        <w:rPr>
          <w:spacing w:val="-5"/>
        </w:rPr>
        <w:t> </w:t>
      </w:r>
      <w:r>
        <w:rPr/>
        <w:t>Nº</w:t>
      </w:r>
      <w:r>
        <w:rPr>
          <w:spacing w:val="-5"/>
        </w:rPr>
        <w:t> </w:t>
      </w:r>
      <w:r>
        <w:rPr/>
        <w:t>7486,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San</w:t>
      </w:r>
      <w:r>
        <w:rPr>
          <w:spacing w:val="-5"/>
        </w:rPr>
        <w:t> </w:t>
      </w:r>
      <w:r>
        <w:rPr>
          <w:spacing w:val="-2"/>
        </w:rPr>
        <w:t>Fernando.</w:t>
      </w:r>
    </w:p>
    <w:p>
      <w:pPr>
        <w:pStyle w:val="ListParagraph"/>
        <w:numPr>
          <w:ilvl w:val="0"/>
          <w:numId w:val="1"/>
        </w:numPr>
        <w:tabs>
          <w:tab w:pos="2274" w:val="left" w:leader="none"/>
        </w:tabs>
        <w:spacing w:line="240" w:lineRule="auto" w:before="298" w:after="0"/>
        <w:ind w:left="1913" w:right="106" w:firstLine="0"/>
        <w:jc w:val="both"/>
        <w:rPr>
          <w:sz w:val="26"/>
        </w:rPr>
      </w:pPr>
      <w:r>
        <w:rPr>
          <w:sz w:val="26"/>
        </w:rPr>
        <w:t>NOMENCLATURA CATASTRAL: Circunscripción II, Sección B, Chacra 112, Parcela 110 según plano 20-193-07 -de la Dirección de Catastro y Cartografía de la Provincia-.</w:t>
      </w:r>
    </w:p>
    <w:p>
      <w:pPr>
        <w:pStyle w:val="BodyText"/>
        <w:spacing w:line="298" w:lineRule="exact"/>
        <w:jc w:val="both"/>
      </w:pPr>
      <w:r>
        <w:rPr/>
        <w:t>El</w:t>
      </w:r>
      <w:r>
        <w:rPr>
          <w:spacing w:val="1"/>
        </w:rPr>
        <w:t> </w:t>
      </w:r>
      <w:r>
        <w:rPr/>
        <w:t>inmueble</w:t>
      </w:r>
      <w:r>
        <w:rPr>
          <w:spacing w:val="2"/>
        </w:rPr>
        <w:t> </w:t>
      </w:r>
      <w:r>
        <w:rPr/>
        <w:t>a</w:t>
      </w:r>
      <w:r>
        <w:rPr>
          <w:spacing w:val="1"/>
        </w:rPr>
        <w:t> </w:t>
      </w:r>
      <w:r>
        <w:rPr/>
        <w:t>expropiar</w:t>
      </w:r>
      <w:r>
        <w:rPr>
          <w:spacing w:val="2"/>
        </w:rPr>
        <w:t> </w:t>
      </w:r>
      <w:r>
        <w:rPr/>
        <w:t>se</w:t>
      </w:r>
      <w:r>
        <w:rPr>
          <w:spacing w:val="1"/>
        </w:rPr>
        <w:t> </w:t>
      </w:r>
      <w:r>
        <w:rPr/>
        <w:t>extiende</w:t>
      </w:r>
      <w:r>
        <w:rPr>
          <w:spacing w:val="2"/>
        </w:rPr>
        <w:t> </w:t>
      </w:r>
      <w:r>
        <w:rPr/>
        <w:t>hasta</w:t>
      </w:r>
      <w:r>
        <w:rPr>
          <w:spacing w:val="1"/>
        </w:rPr>
        <w:t> </w:t>
      </w:r>
      <w:r>
        <w:rPr/>
        <w:t>cubrir</w:t>
      </w:r>
      <w:r>
        <w:rPr>
          <w:spacing w:val="2"/>
        </w:rPr>
        <w:t> </w:t>
      </w:r>
      <w:r>
        <w:rPr/>
        <w:t>una</w:t>
      </w:r>
      <w:r>
        <w:rPr>
          <w:spacing w:val="1"/>
        </w:rPr>
        <w:t> </w:t>
      </w:r>
      <w:r>
        <w:rPr/>
        <w:t>superficie</w:t>
      </w:r>
      <w:r>
        <w:rPr>
          <w:spacing w:val="2"/>
        </w:rPr>
        <w:t> </w:t>
      </w:r>
      <w:r>
        <w:rPr/>
        <w:t>máxima</w:t>
      </w:r>
      <w:r>
        <w:rPr>
          <w:spacing w:val="2"/>
        </w:rPr>
        <w:t> </w:t>
      </w:r>
      <w:r>
        <w:rPr>
          <w:spacing w:val="-5"/>
        </w:rPr>
        <w:t>de</w:t>
      </w:r>
    </w:p>
    <w:p>
      <w:pPr>
        <w:pStyle w:val="BodyText"/>
        <w:spacing w:before="1"/>
        <w:ind w:right="108"/>
        <w:jc w:val="both"/>
      </w:pPr>
      <w:r>
        <w:rPr/>
        <w:t>16 hectáreas del total, lo que está sujeto a mensura definitiva, de conformidad con lo establecido por el artículo 4º de</w:t>
      </w:r>
      <w:r>
        <w:rPr>
          <w:spacing w:val="-2"/>
        </w:rPr>
        <w:t> </w:t>
      </w:r>
      <w:r>
        <w:rPr/>
        <w:t>la ley 2.289 –Régimen de Expropiaciones- y todo de acuerdo con el</w:t>
      </w:r>
      <w:r>
        <w:rPr>
          <w:spacing w:val="40"/>
        </w:rPr>
        <w:t> </w:t>
      </w:r>
      <w:r>
        <w:rPr/>
        <w:t>anteproyecto que oportunamente se apruebe.</w:t>
      </w:r>
    </w:p>
    <w:p>
      <w:pPr>
        <w:pStyle w:val="BodyText"/>
        <w:spacing w:line="298" w:lineRule="exact"/>
      </w:pPr>
      <w:r>
        <w:rPr/>
        <w:t>INSCRIPCIÓN</w:t>
      </w:r>
      <w:r>
        <w:rPr>
          <w:spacing w:val="28"/>
        </w:rPr>
        <w:t> </w:t>
      </w:r>
      <w:r>
        <w:rPr/>
        <w:t>EN</w:t>
      </w:r>
      <w:r>
        <w:rPr>
          <w:spacing w:val="31"/>
        </w:rPr>
        <w:t> </w:t>
      </w:r>
      <w:r>
        <w:rPr/>
        <w:t>EL</w:t>
      </w:r>
      <w:r>
        <w:rPr>
          <w:spacing w:val="31"/>
        </w:rPr>
        <w:t> </w:t>
      </w:r>
      <w:r>
        <w:rPr/>
        <w:t>REGISTRO</w:t>
      </w:r>
      <w:r>
        <w:rPr>
          <w:spacing w:val="30"/>
        </w:rPr>
        <w:t> </w:t>
      </w:r>
      <w:r>
        <w:rPr/>
        <w:t>DE</w:t>
      </w:r>
      <w:r>
        <w:rPr>
          <w:spacing w:val="31"/>
        </w:rPr>
        <w:t> </w:t>
      </w:r>
      <w:r>
        <w:rPr/>
        <w:t>LA</w:t>
      </w:r>
      <w:r>
        <w:rPr>
          <w:spacing w:val="31"/>
        </w:rPr>
        <w:t> </w:t>
      </w:r>
      <w:r>
        <w:rPr/>
        <w:t>PROPIEDAD</w:t>
      </w:r>
      <w:r>
        <w:rPr>
          <w:spacing w:val="31"/>
        </w:rPr>
        <w:t> </w:t>
      </w:r>
      <w:r>
        <w:rPr>
          <w:spacing w:val="-2"/>
        </w:rPr>
        <w:t>INMUEBLE:</w:t>
      </w:r>
    </w:p>
    <w:p>
      <w:pPr>
        <w:pStyle w:val="BodyText"/>
      </w:pPr>
      <w:r>
        <w:rPr/>
        <w:t>Folio</w:t>
      </w:r>
      <w:r>
        <w:rPr>
          <w:spacing w:val="-9"/>
        </w:rPr>
        <w:t> </w:t>
      </w:r>
      <w:r>
        <w:rPr/>
        <w:t>Real</w:t>
      </w:r>
      <w:r>
        <w:rPr>
          <w:spacing w:val="-6"/>
        </w:rPr>
        <w:t> </w:t>
      </w:r>
      <w:r>
        <w:rPr/>
        <w:t>Matrícula</w:t>
      </w:r>
      <w:r>
        <w:rPr>
          <w:spacing w:val="-6"/>
        </w:rPr>
        <w:t> </w:t>
      </w:r>
      <w:r>
        <w:rPr/>
        <w:t>Nº</w:t>
      </w:r>
      <w:r>
        <w:rPr>
          <w:spacing w:val="-6"/>
        </w:rPr>
        <w:t> </w:t>
      </w:r>
      <w:r>
        <w:rPr/>
        <w:t>41.254,</w:t>
      </w:r>
      <w:r>
        <w:rPr>
          <w:spacing w:val="-5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San</w:t>
      </w:r>
      <w:r>
        <w:rPr>
          <w:spacing w:val="-6"/>
        </w:rPr>
        <w:t> </w:t>
      </w:r>
      <w:r>
        <w:rPr>
          <w:spacing w:val="-2"/>
        </w:rPr>
        <w:t>Fernando.</w:t>
      </w:r>
    </w:p>
    <w:p>
      <w:pPr>
        <w:pStyle w:val="BodyText"/>
        <w:spacing w:before="1"/>
        <w:ind w:left="0"/>
      </w:pPr>
    </w:p>
    <w:p>
      <w:pPr>
        <w:pStyle w:val="BodyText"/>
        <w:ind w:left="113" w:right="107"/>
        <w:jc w:val="both"/>
      </w:pPr>
      <w:r>
        <w:rPr/>
        <w:t>ARTÍCULO 2°: Los inmuebles expropiados en el artículo 1° serán destinados a la construcción del edificio de la Cámara de Diputados y del Parque de la Democracia y la </w:t>
      </w:r>
      <w:r>
        <w:rPr>
          <w:spacing w:val="-2"/>
        </w:rPr>
        <w:t>Juventud.</w:t>
      </w:r>
    </w:p>
    <w:p>
      <w:pPr>
        <w:pStyle w:val="BodyText"/>
        <w:spacing w:before="299"/>
        <w:ind w:left="113" w:right="110"/>
        <w:jc w:val="both"/>
      </w:pPr>
      <w:r>
        <w:rPr/>
        <w:t>ARTÍCULO 3º</w:t>
      </w:r>
      <w:r>
        <w:rPr>
          <w:i/>
        </w:rPr>
        <w:t>: </w:t>
      </w:r>
      <w:r>
        <w:rPr/>
        <w:t>La erogación que demande el cumplimiento de la presente ley, se imputará a la partida presupuestaria correspondiente al Fondo Fiduciario, ley 5.691.</w:t>
      </w:r>
    </w:p>
    <w:p>
      <w:pPr>
        <w:pStyle w:val="BodyText"/>
        <w:ind w:left="0"/>
      </w:pPr>
    </w:p>
    <w:p>
      <w:pPr>
        <w:pStyle w:val="BodyText"/>
        <w:ind w:left="113" w:right="108"/>
        <w:jc w:val="both"/>
      </w:pPr>
      <w:r>
        <w:rPr/>
        <w:t>ARTÍCULO 4º: Encomiéndase al Fiscal de Estado la promoción de los correspondientes juicios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expropiación,</w:t>
      </w:r>
      <w:r>
        <w:rPr>
          <w:spacing w:val="-1"/>
        </w:rPr>
        <w:t> </w:t>
      </w:r>
      <w:r>
        <w:rPr/>
        <w:t>pudiendo</w:t>
      </w:r>
      <w:r>
        <w:rPr>
          <w:spacing w:val="-1"/>
        </w:rPr>
        <w:t> </w:t>
      </w:r>
      <w:r>
        <w:rPr/>
        <w:t>promoverse</w:t>
      </w:r>
      <w:r>
        <w:rPr>
          <w:spacing w:val="-1"/>
        </w:rPr>
        <w:t> </w:t>
      </w:r>
      <w:r>
        <w:rPr/>
        <w:t>directamente</w:t>
      </w:r>
      <w:r>
        <w:rPr>
          <w:spacing w:val="-1"/>
        </w:rPr>
        <w:t> </w:t>
      </w:r>
      <w:r>
        <w:rPr/>
        <w:t>la</w:t>
      </w:r>
      <w:r>
        <w:rPr>
          <w:spacing w:val="-1"/>
        </w:rPr>
        <w:t> </w:t>
      </w:r>
      <w:r>
        <w:rPr/>
        <w:t>acción,</w:t>
      </w:r>
      <w:r>
        <w:rPr>
          <w:spacing w:val="-1"/>
        </w:rPr>
        <w:t> </w:t>
      </w:r>
      <w:r>
        <w:rPr/>
        <w:t>en los</w:t>
      </w:r>
      <w:r>
        <w:rPr>
          <w:spacing w:val="-1"/>
        </w:rPr>
        <w:t> </w:t>
      </w:r>
      <w:r>
        <w:rPr/>
        <w:t>términos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los artículos 24, 33 y concordantes de la ley 2.289 –Régimen de Expropiaciones-, en el caso de los inmuebles individualizados en el artículo 1º</w:t>
      </w:r>
      <w:r>
        <w:rPr>
          <w:spacing w:val="40"/>
        </w:rPr>
        <w:t> </w:t>
      </w:r>
      <w:r>
        <w:rPr/>
        <w:t>de la presente.</w:t>
      </w:r>
    </w:p>
    <w:p>
      <w:pPr>
        <w:pStyle w:val="BodyText"/>
        <w:spacing w:before="298"/>
        <w:ind w:left="113"/>
        <w:jc w:val="both"/>
      </w:pPr>
      <w:r>
        <w:rPr/>
        <w:t>ARTÍCULO</w:t>
      </w:r>
      <w:r>
        <w:rPr>
          <w:spacing w:val="-6"/>
        </w:rPr>
        <w:t> </w:t>
      </w:r>
      <w:r>
        <w:rPr/>
        <w:t>5°:</w:t>
      </w:r>
      <w:r>
        <w:rPr>
          <w:spacing w:val="-4"/>
        </w:rPr>
        <w:t> </w:t>
      </w:r>
      <w:r>
        <w:rPr/>
        <w:t>Regístrese</w:t>
      </w:r>
      <w:r>
        <w:rPr>
          <w:spacing w:val="-4"/>
        </w:rPr>
        <w:t> </w:t>
      </w:r>
      <w:r>
        <w:rPr/>
        <w:t>y</w:t>
      </w:r>
      <w:r>
        <w:rPr>
          <w:spacing w:val="-3"/>
        </w:rPr>
        <w:t> </w:t>
      </w:r>
      <w:r>
        <w:rPr/>
        <w:t>comuníquese</w:t>
      </w:r>
      <w:r>
        <w:rPr>
          <w:spacing w:val="-4"/>
        </w:rPr>
        <w:t> </w:t>
      </w:r>
      <w:r>
        <w:rPr/>
        <w:t>al</w:t>
      </w:r>
      <w:r>
        <w:rPr>
          <w:spacing w:val="-4"/>
        </w:rPr>
        <w:t> </w:t>
      </w:r>
      <w:r>
        <w:rPr/>
        <w:t>Poder</w:t>
      </w:r>
      <w:r>
        <w:rPr>
          <w:spacing w:val="-3"/>
        </w:rPr>
        <w:t> </w:t>
      </w:r>
      <w:r>
        <w:rPr>
          <w:spacing w:val="-2"/>
        </w:rPr>
        <w:t>Ejecutivo.</w:t>
      </w:r>
    </w:p>
    <w:p>
      <w:pPr>
        <w:spacing w:after="0"/>
        <w:jc w:val="both"/>
        <w:sectPr>
          <w:footerReference w:type="default" r:id="rId5"/>
          <w:type w:val="continuous"/>
          <w:pgSz w:w="11910" w:h="16840"/>
          <w:pgMar w:header="0" w:footer="1231" w:top="920" w:bottom="1420" w:left="1020" w:right="1020"/>
          <w:pgNumType w:start="1"/>
        </w:sectPr>
      </w:pPr>
    </w:p>
    <w:p>
      <w:pPr>
        <w:pStyle w:val="BodyText"/>
        <w:spacing w:before="68"/>
        <w:ind w:left="4509" w:right="108"/>
        <w:jc w:val="both"/>
      </w:pPr>
      <w:r>
        <w:rPr/>
        <w:t>Dada en la Sala de Sesiones de la Cámara de Diputados de la Provincia del Chaco, a</w:t>
      </w:r>
      <w:r>
        <w:rPr>
          <w:spacing w:val="40"/>
        </w:rPr>
        <w:t> </w:t>
      </w:r>
      <w:r>
        <w:rPr/>
        <w:t>los veinte días del mes de agosto del año dos mil ocho.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276"/>
        <w:ind w:left="0"/>
      </w:pPr>
    </w:p>
    <w:p>
      <w:pPr>
        <w:pStyle w:val="BodyText"/>
        <w:tabs>
          <w:tab w:pos="6484" w:val="left" w:leader="none"/>
          <w:tab w:pos="6947" w:val="left" w:leader="none"/>
        </w:tabs>
        <w:ind w:left="763" w:right="582" w:hanging="326"/>
      </w:pPr>
      <w:r>
        <w:rPr/>
        <w:t>Pablo L.D. BOSCH</w:t>
        <w:tab/>
        <w:t>Alicia</w:t>
      </w:r>
      <w:r>
        <w:rPr>
          <w:spacing w:val="-16"/>
        </w:rPr>
        <w:t> </w:t>
      </w:r>
      <w:r>
        <w:rPr/>
        <w:t>E.</w:t>
      </w:r>
      <w:r>
        <w:rPr>
          <w:spacing w:val="-16"/>
        </w:rPr>
        <w:t> </w:t>
      </w:r>
      <w:r>
        <w:rPr/>
        <w:t>MASTANDREA </w:t>
      </w:r>
      <w:r>
        <w:rPr>
          <w:spacing w:val="-2"/>
        </w:rPr>
        <w:t>SECRETARIO</w:t>
      </w:r>
      <w:r>
        <w:rPr/>
        <w:tab/>
        <w:tab/>
      </w:r>
      <w:r>
        <w:rPr>
          <w:spacing w:val="-2"/>
        </w:rPr>
        <w:t>PRESIDENTA</w:t>
      </w:r>
    </w:p>
    <w:p>
      <w:pPr>
        <w:pStyle w:val="BodyText"/>
        <w:tabs>
          <w:tab w:pos="6107" w:val="left" w:leader="none"/>
        </w:tabs>
        <w:spacing w:line="299" w:lineRule="exact"/>
        <w:ind w:left="113"/>
      </w:pPr>
      <w:r>
        <w:rPr/>
        <w:t>CAMARA</w:t>
      </w:r>
      <w:r>
        <w:rPr>
          <w:spacing w:val="-7"/>
        </w:rPr>
        <w:t> </w:t>
      </w:r>
      <w:r>
        <w:rPr/>
        <w:t>DE</w:t>
      </w:r>
      <w:r>
        <w:rPr>
          <w:spacing w:val="-5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>
          <w:spacing w:val="-2"/>
        </w:rPr>
        <w:t>DIPUTADOS</w:t>
      </w:r>
    </w:p>
    <w:sectPr>
      <w:pgSz w:w="11910" w:h="16840"/>
      <w:pgMar w:header="0" w:footer="1231" w:top="780" w:bottom="142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53536">
              <wp:simplePos x="0" y="0"/>
              <wp:positionH relativeFrom="page">
                <wp:posOffset>2440939</wp:posOffset>
              </wp:positionH>
              <wp:positionV relativeFrom="page">
                <wp:posOffset>9771939</wp:posOffset>
              </wp:positionV>
              <wp:extent cx="2677795" cy="47561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677795" cy="4756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3" w:right="3" w:firstLine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b/>
                              <w:sz w:val="14"/>
                            </w:rPr>
                            <w:t>Fuente:</w:t>
                          </w:r>
                          <w:r>
                            <w:rPr>
                              <w:b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Dirección</w:t>
                          </w:r>
                          <w:r>
                            <w:rPr>
                              <w:b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Información</w:t>
                          </w:r>
                          <w:r>
                            <w:rPr>
                              <w:b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Parlamentaria</w:t>
                          </w: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Güemes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120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5º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Piso</w:t>
                          </w:r>
                        </w:p>
                        <w:p>
                          <w:pPr>
                            <w:spacing w:before="1"/>
                            <w:ind w:left="3" w:right="1" w:firstLine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T.E.: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0362-4441467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-internos: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194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141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145-167-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Centrex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41467</w:t>
                          </w:r>
                        </w:p>
                        <w:p>
                          <w:pPr>
                            <w:spacing w:before="0"/>
                            <w:ind w:left="3" w:right="2" w:firstLine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Email: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hyperlink r:id="rId1">
                            <w:r>
                              <w:rPr>
                                <w:spacing w:val="-2"/>
                                <w:sz w:val="14"/>
                                <w:u w:val="single"/>
                              </w:rPr>
                              <w:t>dir.informacionparlamentaria@legislaturachaco.gov.ar</w:t>
                            </w:r>
                          </w:hyperlink>
                        </w:p>
                        <w:p>
                          <w:pPr>
                            <w:spacing w:before="0"/>
                            <w:ind w:left="3" w:right="0" w:firstLine="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ES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COPIA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DIGITAL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92.199997pt;margin-top:769.444092pt;width:210.85pt;height:37.450pt;mso-position-horizontal-relative:page;mso-position-vertical-relative:page;z-index:-15762944" type="#_x0000_t202" id="docshape1" filled="false" stroked="false">
              <v:textbox inset="0,0,0,0">
                <w:txbxContent>
                  <w:p>
                    <w:pPr>
                      <w:spacing w:before="14"/>
                      <w:ind w:left="3" w:right="3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Fuente:</w:t>
                    </w:r>
                    <w:r>
                      <w:rPr>
                        <w:b/>
                        <w:spacing w:val="-3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Dirección</w:t>
                    </w:r>
                    <w:r>
                      <w:rPr>
                        <w:b/>
                        <w:spacing w:val="-3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de</w:t>
                    </w:r>
                    <w:r>
                      <w:rPr>
                        <w:b/>
                        <w:spacing w:val="-3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Información</w:t>
                    </w:r>
                    <w:r>
                      <w:rPr>
                        <w:b/>
                        <w:spacing w:val="-3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Parlamentaria</w:t>
                    </w:r>
                    <w:r>
                      <w:rPr>
                        <w:b/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Güemes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120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5º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pacing w:val="-4"/>
                        <w:sz w:val="14"/>
                      </w:rPr>
                      <w:t>Piso</w:t>
                    </w:r>
                  </w:p>
                  <w:p>
                    <w:pPr>
                      <w:spacing w:before="1"/>
                      <w:ind w:left="3" w:right="1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T.E.: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0362-4441467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-internos: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194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141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145-167-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Centrex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pacing w:val="-2"/>
                        <w:sz w:val="14"/>
                      </w:rPr>
                      <w:t>41467</w:t>
                    </w:r>
                  </w:p>
                  <w:p>
                    <w:pPr>
                      <w:spacing w:before="0"/>
                      <w:ind w:left="3" w:right="2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Email: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hyperlink r:id="rId1">
                      <w:r>
                        <w:rPr>
                          <w:spacing w:val="-2"/>
                          <w:sz w:val="14"/>
                          <w:u w:val="single"/>
                        </w:rPr>
                        <w:t>dir.informacionparlamentaria@legislaturachaco.gov.ar</w:t>
                      </w:r>
                    </w:hyperlink>
                  </w:p>
                  <w:p>
                    <w:pPr>
                      <w:spacing w:before="0"/>
                      <w:ind w:left="3" w:right="0" w:firstLine="0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ES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COPIA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DIGITAL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1913" w:hanging="36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6"/>
        <w:szCs w:val="26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714" w:hanging="363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508" w:hanging="363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303" w:hanging="363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5097" w:hanging="363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892" w:hanging="363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686" w:hanging="363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481" w:hanging="363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275" w:hanging="363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>
      <w:ind w:left="1913"/>
    </w:pPr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01" w:hanging="968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spacing w:before="298"/>
      <w:ind w:left="1913" w:right="109"/>
      <w:jc w:val="both"/>
    </w:pPr>
    <w:rPr>
      <w:rFonts w:ascii="Times New Roman" w:hAnsi="Times New Roman" w:eastAsia="Times New Roman" w:cs="Times New Roman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infopar</dc:creator>
  <dc:title>Microsoft Word - Ley 6198</dc:title>
  <dcterms:created xsi:type="dcterms:W3CDTF">2025-02-06T12:37:57Z</dcterms:created>
  <dcterms:modified xsi:type="dcterms:W3CDTF">2025-02-06T12:37:57Z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2014-03-06T00:00:00Z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2025-02-06T00:00:00Z</vt:filetime>
  </property>
  <property fmtid="{D5CDD505-2E9C-101B-9397-08002B2CF9AE}" pid="5" name="Producer">
    <vt:lpwstr>Acrobat Distiller 9.0.0 (Windows)</vt:lpwstr>
  </property>
</Properties>
</file>